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1E5" w:rsidRDefault="00BC67F3">
      <w:bookmarkStart w:id="0" w:name="_GoBack"/>
      <w:bookmarkEnd w:id="0"/>
      <w:r>
        <w:rPr>
          <w:b/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pPr>
        <w:jc w:val="center"/>
      </w:pPr>
      <w:r>
        <w:rPr>
          <w:b/>
          <w:color w:val="222222"/>
          <w:sz w:val="28"/>
          <w:szCs w:val="28"/>
          <w:highlight w:val="white"/>
        </w:rPr>
        <w:t>Accessing Gmail Basic HTML Using JAWS</w:t>
      </w:r>
    </w:p>
    <w:p w:rsidR="005551E5" w:rsidRDefault="00BC67F3">
      <w:r>
        <w:rPr>
          <w:b/>
          <w:color w:val="222222"/>
          <w:sz w:val="28"/>
          <w:szCs w:val="28"/>
          <w:highlight w:val="white"/>
        </w:rPr>
        <w:t xml:space="preserve"> </w:t>
      </w:r>
    </w:p>
    <w:p w:rsidR="005551E5" w:rsidRDefault="00BC67F3">
      <w:r>
        <w:rPr>
          <w:color w:val="222222"/>
          <w:sz w:val="24"/>
          <w:szCs w:val="24"/>
          <w:highlight w:val="white"/>
        </w:rPr>
        <w:t xml:space="preserve">The following step-by-step guide offers a basic introduction to using Gmail for JAWS users. </w:t>
      </w:r>
    </w:p>
    <w:p w:rsidR="005551E5" w:rsidRDefault="00BC67F3">
      <w:r>
        <w:rPr>
          <w:color w:val="222222"/>
          <w:sz w:val="24"/>
          <w:szCs w:val="24"/>
          <w:highlight w:val="white"/>
        </w:rPr>
        <w:t xml:space="preserve">***Note: JAWS commands presented are based on using a laptop (Caps Lock is the default key); make sure your computer is set to use laptop commands (make these changes in JAWS window, Help Menu, Startup Wizard). </w:t>
      </w:r>
      <w:r>
        <w:rPr>
          <w:i/>
          <w:color w:val="222222"/>
          <w:sz w:val="24"/>
          <w:szCs w:val="24"/>
          <w:highlight w:val="white"/>
        </w:rPr>
        <w:t>Helpful hint:</w:t>
      </w:r>
      <w:r>
        <w:rPr>
          <w:color w:val="222222"/>
          <w:sz w:val="24"/>
          <w:szCs w:val="24"/>
          <w:highlight w:val="white"/>
        </w:rPr>
        <w:t xml:space="preserve"> the setting to use laptop commands can also be set on a desktop computer.</w:t>
      </w:r>
    </w:p>
    <w:p w:rsidR="005551E5" w:rsidRDefault="00BC67F3">
      <w:r>
        <w:rPr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>Open Gmail and change settings to ensure compatibility with JAWS commands</w:t>
      </w:r>
    </w:p>
    <w:p w:rsidR="005551E5" w:rsidRDefault="00BC67F3">
      <w:r>
        <w:rPr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pPr>
        <w:numPr>
          <w:ilvl w:val="0"/>
          <w:numId w:val="8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Turn JAWS on</w:t>
      </w:r>
    </w:p>
    <w:p w:rsidR="005551E5" w:rsidRDefault="00BC67F3">
      <w:pPr>
        <w:numPr>
          <w:ilvl w:val="0"/>
          <w:numId w:val="8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Open Internet Explorer</w:t>
      </w:r>
    </w:p>
    <w:p w:rsidR="005551E5" w:rsidRDefault="00BC67F3">
      <w:pPr>
        <w:numPr>
          <w:ilvl w:val="0"/>
          <w:numId w:val="8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Navigate to Gmail through address bar (consider setting Gmail as your home page (Tools, Internet Options, General, Home Page edit box)</w:t>
      </w:r>
    </w:p>
    <w:p w:rsidR="005551E5" w:rsidRDefault="00BC67F3">
      <w:pPr>
        <w:numPr>
          <w:ilvl w:val="0"/>
          <w:numId w:val="8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Press E to get to the “email address” edit box, then press Enter to go into the edit box and type your email address</w:t>
      </w:r>
    </w:p>
    <w:p w:rsidR="005551E5" w:rsidRDefault="00BC67F3">
      <w:pPr>
        <w:numPr>
          <w:ilvl w:val="0"/>
          <w:numId w:val="8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Press Tab to get to the “Next” button, Spacebar or Enter to activate</w:t>
      </w:r>
    </w:p>
    <w:p w:rsidR="005551E5" w:rsidRDefault="00BC67F3">
      <w:pPr>
        <w:numPr>
          <w:ilvl w:val="0"/>
          <w:numId w:val="8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Press E to get to the “password” edit box, then type your password</w:t>
      </w:r>
    </w:p>
    <w:p w:rsidR="005551E5" w:rsidRDefault="00BC67F3">
      <w:pPr>
        <w:numPr>
          <w:ilvl w:val="0"/>
          <w:numId w:val="8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Tab to “Sign In” button, Spacebar or Enter to activate</w:t>
      </w:r>
    </w:p>
    <w:p w:rsidR="005551E5" w:rsidRDefault="00BC67F3">
      <w:pPr>
        <w:numPr>
          <w:ilvl w:val="0"/>
          <w:numId w:val="8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For first-time Gmail users, down arrow until you hear “Basic HTML View” button, Spacebar or Enter to activate</w:t>
      </w:r>
    </w:p>
    <w:p w:rsidR="005551E5" w:rsidRDefault="00BC67F3">
      <w:pPr>
        <w:numPr>
          <w:ilvl w:val="0"/>
          <w:numId w:val="8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Tab until you hear “Set basic HTML as default” link, hit Enter to activate (note, once you change this setting, you will not have to do it in the future)</w:t>
      </w:r>
    </w:p>
    <w:p w:rsidR="005551E5" w:rsidRDefault="00BC67F3">
      <w:pPr>
        <w:numPr>
          <w:ilvl w:val="1"/>
          <w:numId w:val="8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Note: Basic HTML is preferred for running JAWS with Gmail; the commands below will not work if this setting is not changed.</w:t>
      </w:r>
    </w:p>
    <w:p w:rsidR="005551E5" w:rsidRDefault="00BC67F3">
      <w:r>
        <w:rPr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>Navigate to Inbox and Read Messages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Press Alt + I to go directly to “Inbox” link (Alt + Shift + I also works), Enter to activate</w:t>
      </w:r>
    </w:p>
    <w:p w:rsidR="005551E5" w:rsidRDefault="00BC67F3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Press X to go directly to the 1</w:t>
      </w:r>
      <w:r>
        <w:rPr>
          <w:color w:val="222222"/>
          <w:sz w:val="24"/>
          <w:szCs w:val="24"/>
          <w:highlight w:val="white"/>
          <w:vertAlign w:val="superscript"/>
        </w:rPr>
        <w:t>st</w:t>
      </w:r>
      <w:r>
        <w:rPr>
          <w:color w:val="222222"/>
          <w:sz w:val="24"/>
          <w:szCs w:val="24"/>
          <w:highlight w:val="white"/>
        </w:rPr>
        <w:t xml:space="preserve"> email in the Inbox. JAWS will </w:t>
      </w:r>
      <w:proofErr w:type="gramStart"/>
      <w:r>
        <w:rPr>
          <w:color w:val="222222"/>
          <w:sz w:val="24"/>
          <w:szCs w:val="24"/>
          <w:highlight w:val="white"/>
        </w:rPr>
        <w:t>read</w:t>
      </w:r>
      <w:proofErr w:type="gramEnd"/>
      <w:r>
        <w:rPr>
          <w:color w:val="222222"/>
          <w:sz w:val="24"/>
          <w:szCs w:val="24"/>
          <w:highlight w:val="white"/>
        </w:rPr>
        <w:t xml:space="preserve"> “checkbox not checked” because it takes you to the checkbox next to the first email. Thereafter, X takes you down through the checkboxes one at a time. Shift + X will take you backwards up through the list of emails.</w:t>
      </w:r>
    </w:p>
    <w:p w:rsidR="005551E5" w:rsidRDefault="00BC67F3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>Use down arrow to get to the message subject link (the sequence is checkbox, graphic [if there is one], email sender, message subject link)</w:t>
      </w:r>
    </w:p>
    <w:p w:rsidR="005551E5" w:rsidRDefault="00BC67F3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Press Enter to open the message subject link</w:t>
      </w:r>
    </w:p>
    <w:p w:rsidR="005551E5" w:rsidRDefault="00BC67F3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Press H to get to the message subject heading (if a user has a lot of labels, each label is read as a heading, so it takes a long time to get to the message subject heading; consider pressing N to get to the message subject heading)</w:t>
      </w:r>
    </w:p>
    <w:p w:rsidR="005551E5" w:rsidRDefault="00BC67F3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Press N until you get to </w:t>
      </w:r>
      <w:proofErr w:type="spellStart"/>
      <w:r>
        <w:rPr>
          <w:color w:val="222222"/>
          <w:sz w:val="24"/>
          <w:szCs w:val="24"/>
          <w:highlight w:val="white"/>
        </w:rPr>
        <w:t>nonlinked</w:t>
      </w:r>
      <w:proofErr w:type="spellEnd"/>
      <w:r>
        <w:rPr>
          <w:color w:val="222222"/>
          <w:sz w:val="24"/>
          <w:szCs w:val="24"/>
          <w:highlight w:val="white"/>
        </w:rPr>
        <w:t xml:space="preserve"> text (main content)</w:t>
      </w:r>
    </w:p>
    <w:p w:rsidR="005551E5" w:rsidRDefault="00BC67F3">
      <w:pPr>
        <w:numPr>
          <w:ilvl w:val="0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Down arrow to read through message</w:t>
      </w:r>
    </w:p>
    <w:p w:rsidR="005551E5" w:rsidRDefault="00BC67F3">
      <w:pPr>
        <w:numPr>
          <w:ilvl w:val="1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Note: If N does not take you to </w:t>
      </w:r>
      <w:proofErr w:type="spellStart"/>
      <w:r>
        <w:rPr>
          <w:color w:val="222222"/>
          <w:sz w:val="24"/>
          <w:szCs w:val="24"/>
          <w:highlight w:val="white"/>
        </w:rPr>
        <w:t>nonlinked</w:t>
      </w:r>
      <w:proofErr w:type="spellEnd"/>
      <w:r>
        <w:rPr>
          <w:color w:val="222222"/>
          <w:sz w:val="24"/>
          <w:szCs w:val="24"/>
          <w:highlight w:val="white"/>
        </w:rPr>
        <w:t xml:space="preserve"> text, use down arrow after you hear message subject heading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>Reply to Messages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pPr>
        <w:numPr>
          <w:ilvl w:val="0"/>
          <w:numId w:val="4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>Method 1:</w:t>
      </w:r>
    </w:p>
    <w:p w:rsidR="005551E5" w:rsidRDefault="00BC67F3">
      <w:pPr>
        <w:ind w:left="720"/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4"/>
          <w:szCs w:val="24"/>
          <w:highlight w:val="white"/>
        </w:rPr>
        <w:t>After reading message, press down arrow until you hear “quick reply”, then press E to get to edit box, press enter to begin typing.</w:t>
      </w:r>
    </w:p>
    <w:p w:rsidR="005551E5" w:rsidRDefault="00BC67F3">
      <w:pPr>
        <w:ind w:left="720"/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4"/>
          <w:szCs w:val="24"/>
          <w:highlight w:val="white"/>
        </w:rPr>
        <w:t>Type reply</w:t>
      </w:r>
    </w:p>
    <w:p w:rsidR="005551E5" w:rsidRDefault="00BC67F3">
      <w:pPr>
        <w:ind w:left="720"/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4"/>
          <w:szCs w:val="24"/>
          <w:highlight w:val="white"/>
        </w:rPr>
        <w:t>Tab to “Send” Button, Enter to activate</w:t>
      </w:r>
    </w:p>
    <w:p w:rsidR="005551E5" w:rsidRDefault="00BC67F3">
      <w:pPr>
        <w:numPr>
          <w:ilvl w:val="0"/>
          <w:numId w:val="5"/>
        </w:numPr>
        <w:ind w:hanging="360"/>
        <w:contextualSpacing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Method 2 (best when sending attachments):</w:t>
      </w:r>
    </w:p>
    <w:p w:rsidR="005551E5" w:rsidRDefault="00BC67F3">
      <w:pPr>
        <w:ind w:left="720"/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4"/>
          <w:szCs w:val="24"/>
          <w:highlight w:val="white"/>
        </w:rPr>
        <w:t>Use Alt + R (Alt + Shift + R also works) to get to the “reply” link, Enter to activate</w:t>
      </w:r>
    </w:p>
    <w:p w:rsidR="005551E5" w:rsidRDefault="00BC67F3">
      <w:pPr>
        <w:ind w:left="720"/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4"/>
          <w:szCs w:val="24"/>
          <w:highlight w:val="white"/>
        </w:rPr>
        <w:t>After activating the “reply” link, user is placed in the “To” edit box: type additional addresses if needed (or leave as is)</w:t>
      </w:r>
      <w:r>
        <w:rPr>
          <w:b/>
          <w:color w:val="222222"/>
          <w:sz w:val="24"/>
          <w:szCs w:val="24"/>
          <w:highlight w:val="white"/>
        </w:rPr>
        <w:tab/>
      </w:r>
    </w:p>
    <w:p w:rsidR="005551E5" w:rsidRDefault="00BC67F3">
      <w:pPr>
        <w:ind w:left="720"/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4"/>
          <w:szCs w:val="24"/>
          <w:highlight w:val="white"/>
        </w:rPr>
        <w:t>Tab to “CC” edit box, type in addresses if needed (or leave as is)</w:t>
      </w:r>
    </w:p>
    <w:p w:rsidR="005551E5" w:rsidRDefault="00BC67F3">
      <w:pPr>
        <w:ind w:left="720"/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4"/>
          <w:szCs w:val="24"/>
          <w:highlight w:val="white"/>
        </w:rPr>
        <w:t>Tab to “BCC” edit box, type in addresses if needed (or leave as is)</w:t>
      </w:r>
    </w:p>
    <w:p w:rsidR="005551E5" w:rsidRDefault="00BC67F3">
      <w:pPr>
        <w:ind w:left="720"/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4"/>
          <w:szCs w:val="24"/>
          <w:highlight w:val="white"/>
        </w:rPr>
        <w:t>Tab to “Subject” edit box, type edits if needed (or leave as is)</w:t>
      </w:r>
    </w:p>
    <w:p w:rsidR="005551E5" w:rsidRDefault="00BC67F3">
      <w:pPr>
        <w:ind w:left="720"/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4"/>
          <w:szCs w:val="24"/>
          <w:highlight w:val="white"/>
        </w:rPr>
        <w:t>Tab until you hear “message body edit,” type reply</w:t>
      </w:r>
    </w:p>
    <w:p w:rsidR="005551E5" w:rsidRDefault="00BC67F3">
      <w:pPr>
        <w:ind w:left="720"/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4"/>
          <w:szCs w:val="24"/>
          <w:highlight w:val="white"/>
        </w:rPr>
        <w:t>Tab to “Send” button, Spacebar or Enter to activate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>Compose Messages</w:t>
      </w:r>
    </w:p>
    <w:p w:rsidR="005551E5" w:rsidRDefault="00BC67F3">
      <w:pPr>
        <w:numPr>
          <w:ilvl w:val="0"/>
          <w:numId w:val="9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Use Alt + C (Alt + Shift + C also works) to get to the “compose” link, Enter to activate</w:t>
      </w:r>
    </w:p>
    <w:p w:rsidR="005551E5" w:rsidRDefault="00BC67F3">
      <w:pPr>
        <w:numPr>
          <w:ilvl w:val="0"/>
          <w:numId w:val="9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User is placed in the “To” edit box: type in recipient email address or addresses</w:t>
      </w:r>
    </w:p>
    <w:p w:rsidR="005551E5" w:rsidRDefault="00BC67F3">
      <w:pPr>
        <w:numPr>
          <w:ilvl w:val="0"/>
          <w:numId w:val="9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Tab to “CC” edit box, type in addresses if needed (or leave as is)</w:t>
      </w:r>
    </w:p>
    <w:p w:rsidR="005551E5" w:rsidRDefault="00BC67F3">
      <w:pPr>
        <w:numPr>
          <w:ilvl w:val="0"/>
          <w:numId w:val="9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Tab to “BCC” edit box, type in addresses if needed (or leave as is)</w:t>
      </w:r>
    </w:p>
    <w:p w:rsidR="005551E5" w:rsidRDefault="00BC67F3">
      <w:pPr>
        <w:numPr>
          <w:ilvl w:val="0"/>
          <w:numId w:val="9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Tab to “Subject” edit box, type message subject</w:t>
      </w:r>
    </w:p>
    <w:p w:rsidR="005551E5" w:rsidRDefault="00BC67F3">
      <w:pPr>
        <w:numPr>
          <w:ilvl w:val="0"/>
          <w:numId w:val="9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 xml:space="preserve">Tab until you hear “message body edit,” type message body text   </w:t>
      </w:r>
      <w:r>
        <w:rPr>
          <w:color w:val="222222"/>
          <w:sz w:val="24"/>
          <w:szCs w:val="24"/>
          <w:highlight w:val="white"/>
        </w:rPr>
        <w:tab/>
      </w:r>
    </w:p>
    <w:p w:rsidR="005551E5" w:rsidRDefault="00BC67F3">
      <w:pPr>
        <w:numPr>
          <w:ilvl w:val="0"/>
          <w:numId w:val="9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Tab to “Send” button, Spacebar or Enter to activate</w:t>
      </w:r>
    </w:p>
    <w:p w:rsidR="005551E5" w:rsidRDefault="00BC67F3">
      <w:r>
        <w:rPr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>Delete Messages</w:t>
      </w:r>
    </w:p>
    <w:p w:rsidR="005551E5" w:rsidRDefault="00BC67F3">
      <w:pPr>
        <w:numPr>
          <w:ilvl w:val="0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Go to Inbox (Alt + I, Enter)</w:t>
      </w:r>
    </w:p>
    <w:p w:rsidR="005551E5" w:rsidRDefault="00BC67F3">
      <w:pPr>
        <w:numPr>
          <w:ilvl w:val="0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Press X to go to first checkbox</w:t>
      </w:r>
    </w:p>
    <w:p w:rsidR="005551E5" w:rsidRDefault="00BC67F3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X travels forward by checkbox; Shift + X travels backwards</w:t>
      </w:r>
    </w:p>
    <w:p w:rsidR="005551E5" w:rsidRDefault="00BC67F3">
      <w:pPr>
        <w:numPr>
          <w:ilvl w:val="0"/>
          <w:numId w:val="7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When JAWS reads “checkbox not checked” press Spacebar to check the checkbox</w:t>
      </w:r>
    </w:p>
    <w:p w:rsidR="005551E5" w:rsidRDefault="00BC67F3">
      <w:pPr>
        <w:numPr>
          <w:ilvl w:val="0"/>
          <w:numId w:val="7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JAWS should read “checkbox checked”</w:t>
      </w:r>
    </w:p>
    <w:p w:rsidR="005551E5" w:rsidRDefault="00BC67F3">
      <w:pPr>
        <w:numPr>
          <w:ilvl w:val="0"/>
          <w:numId w:val="7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Press B (to travel by button) until you hear the “Delete” button, Spacebar or Enter to activate</w:t>
      </w:r>
    </w:p>
    <w:p w:rsidR="005551E5" w:rsidRDefault="00BC67F3">
      <w:r>
        <w:rPr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>Attach Files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From either “reply” or “compose” screens, Tab until you hear “attach file button, </w:t>
      </w:r>
      <w:proofErr w:type="gramStart"/>
      <w:r>
        <w:rPr>
          <w:color w:val="222222"/>
          <w:sz w:val="24"/>
          <w:szCs w:val="24"/>
          <w:highlight w:val="white"/>
        </w:rPr>
        <w:t>browse…,”</w:t>
      </w:r>
      <w:proofErr w:type="gramEnd"/>
      <w:r>
        <w:rPr>
          <w:color w:val="222222"/>
          <w:sz w:val="24"/>
          <w:szCs w:val="24"/>
          <w:highlight w:val="white"/>
        </w:rPr>
        <w:t xml:space="preserve"> Spacebar to activate Browse button</w:t>
      </w:r>
    </w:p>
    <w:p w:rsidR="005551E5" w:rsidRDefault="00BC67F3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Navigate Windows Explorer to locate your file, then navigate to “Open” button and Spacebar or Enter to activate</w:t>
      </w:r>
    </w:p>
    <w:p w:rsidR="005551E5" w:rsidRDefault="00BC67F3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Tab until you hear “Send” button, Spacebar or Enter to activate (or press the shortcut to save “Alt + S”</w:t>
      </w:r>
    </w:p>
    <w:p w:rsidR="005551E5" w:rsidRDefault="00BC67F3">
      <w:r>
        <w:rPr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>Download Files</w:t>
      </w:r>
    </w:p>
    <w:p w:rsidR="005551E5" w:rsidRDefault="005551E5"/>
    <w:p w:rsidR="005551E5" w:rsidRDefault="00BC67F3">
      <w:pPr>
        <w:numPr>
          <w:ilvl w:val="0"/>
          <w:numId w:val="10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When reading a message containing an attachment (JAWS will alert you to this when you down arrow from checkbox by saying “graphic attachment”), pressing N will take you to title of attachment</w:t>
      </w:r>
    </w:p>
    <w:p w:rsidR="005551E5" w:rsidRDefault="00BC67F3">
      <w:pPr>
        <w:numPr>
          <w:ilvl w:val="0"/>
          <w:numId w:val="10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After you hear title of attachment, down arrow until you hear “scan and download” link, Enter to activate</w:t>
      </w:r>
    </w:p>
    <w:p w:rsidR="005551E5" w:rsidRDefault="00BC67F3">
      <w:pPr>
        <w:numPr>
          <w:ilvl w:val="0"/>
          <w:numId w:val="10"/>
        </w:numPr>
        <w:ind w:hanging="360"/>
        <w:contextualSpacing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Let JAWS read fully to get instructions on how to download: a notification pop-up regarding how you want to download the document will be heard; use Alt + N to get to the pop-up</w:t>
      </w:r>
    </w:p>
    <w:p w:rsidR="005551E5" w:rsidRDefault="00BC67F3">
      <w:pPr>
        <w:numPr>
          <w:ilvl w:val="0"/>
          <w:numId w:val="10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Once at the pop-up: choose your preference: Open document, Save (or Save As) document, or Cancel</w:t>
      </w:r>
    </w:p>
    <w:p w:rsidR="005551E5" w:rsidRDefault="00BC67F3">
      <w:pPr>
        <w:ind w:left="1710" w:hanging="270"/>
      </w:pPr>
      <w:proofErr w:type="gramStart"/>
      <w:r>
        <w:rPr>
          <w:rFonts w:ascii="Courier New" w:eastAsia="Courier New" w:hAnsi="Courier New" w:cs="Courier New"/>
          <w:color w:val="222222"/>
          <w:sz w:val="24"/>
          <w:szCs w:val="24"/>
          <w:highlight w:val="white"/>
        </w:rPr>
        <w:t>o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4"/>
          <w:highlight w:val="white"/>
        </w:rPr>
        <w:t xml:space="preserve">   </w:t>
      </w:r>
      <w:r>
        <w:rPr>
          <w:color w:val="222222"/>
          <w:sz w:val="24"/>
          <w:szCs w:val="24"/>
          <w:highlight w:val="white"/>
        </w:rPr>
        <w:t xml:space="preserve">Note: If you hear “protected view” upon opening the document (if MS   Word document), go to File Menu (Alt, then F), then Tab until you hear </w:t>
      </w:r>
      <w:r>
        <w:rPr>
          <w:color w:val="222222"/>
          <w:sz w:val="24"/>
          <w:szCs w:val="24"/>
          <w:highlight w:val="white"/>
        </w:rPr>
        <w:lastRenderedPageBreak/>
        <w:t>“enable editing” and hit Enter to activate – after you have enabled editing you should be able to listen to the document</w:t>
      </w:r>
    </w:p>
    <w:p w:rsidR="005551E5" w:rsidRDefault="00BC67F3">
      <w:r>
        <w:rPr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>Sign Out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pPr>
        <w:numPr>
          <w:ilvl w:val="0"/>
          <w:numId w:val="6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Open up a list of links (Caps Lock + F7)</w:t>
      </w:r>
    </w:p>
    <w:p w:rsidR="005551E5" w:rsidRDefault="00BC67F3">
      <w:pPr>
        <w:numPr>
          <w:ilvl w:val="0"/>
          <w:numId w:val="6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Use first-letter navigation to locate “sign out” (press “S”)</w:t>
      </w:r>
    </w:p>
    <w:p w:rsidR="005551E5" w:rsidRDefault="00BC67F3">
      <w:pPr>
        <w:numPr>
          <w:ilvl w:val="0"/>
          <w:numId w:val="6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t>Tab to the “activate link” button, Enter to activate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r>
        <w:rPr>
          <w:b/>
          <w:color w:val="222222"/>
          <w:sz w:val="24"/>
          <w:szCs w:val="24"/>
          <w:highlight w:val="white"/>
        </w:rPr>
        <w:t xml:space="preserve"> </w:t>
      </w:r>
    </w:p>
    <w:p w:rsidR="005551E5" w:rsidRDefault="00BC67F3">
      <w:pPr>
        <w:ind w:left="5040"/>
        <w:jc w:val="right"/>
      </w:pPr>
      <w:r>
        <w:rPr>
          <w:color w:val="222222"/>
          <w:highlight w:val="white"/>
        </w:rPr>
        <w:t xml:space="preserve">Compiled by Nina </w:t>
      </w:r>
      <w:proofErr w:type="spellStart"/>
      <w:r>
        <w:rPr>
          <w:color w:val="222222"/>
          <w:highlight w:val="white"/>
        </w:rPr>
        <w:t>Wibbenmeyer</w:t>
      </w:r>
      <w:proofErr w:type="spellEnd"/>
      <w:r>
        <w:rPr>
          <w:color w:val="222222"/>
          <w:highlight w:val="white"/>
        </w:rPr>
        <w:t>, M.Ed.</w:t>
      </w:r>
    </w:p>
    <w:p w:rsidR="005551E5" w:rsidRDefault="00BC67F3">
      <w:pPr>
        <w:jc w:val="right"/>
      </w:pPr>
      <w:r>
        <w:rPr>
          <w:color w:val="222222"/>
          <w:highlight w:val="white"/>
        </w:rPr>
        <w:t>Short-Term Programs, TSBVI</w:t>
      </w:r>
    </w:p>
    <w:p w:rsidR="005551E5" w:rsidRDefault="00BC67F3">
      <w:pPr>
        <w:jc w:val="right"/>
      </w:pPr>
      <w:r>
        <w:rPr>
          <w:color w:val="222222"/>
          <w:highlight w:val="white"/>
        </w:rPr>
        <w:t>wibbenmeyern@tsbvi.edu</w:t>
      </w:r>
    </w:p>
    <w:p w:rsidR="005551E5" w:rsidRDefault="00BC67F3">
      <w:pPr>
        <w:jc w:val="right"/>
      </w:pPr>
      <w:r>
        <w:rPr>
          <w:color w:val="222222"/>
          <w:highlight w:val="white"/>
        </w:rPr>
        <w:t>512.206.9361</w:t>
      </w:r>
    </w:p>
    <w:p w:rsidR="005551E5" w:rsidRDefault="005551E5"/>
    <w:sectPr w:rsidR="005551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F3" w:rsidRDefault="00BC67F3">
      <w:pPr>
        <w:spacing w:line="240" w:lineRule="auto"/>
      </w:pPr>
      <w:r>
        <w:separator/>
      </w:r>
    </w:p>
  </w:endnote>
  <w:endnote w:type="continuationSeparator" w:id="0">
    <w:p w:rsidR="00BC67F3" w:rsidRDefault="00BC6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E5" w:rsidRDefault="005551E5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F3" w:rsidRDefault="00BC67F3">
      <w:pPr>
        <w:spacing w:line="240" w:lineRule="auto"/>
      </w:pPr>
      <w:r>
        <w:separator/>
      </w:r>
    </w:p>
  </w:footnote>
  <w:footnote w:type="continuationSeparator" w:id="0">
    <w:p w:rsidR="00BC67F3" w:rsidRDefault="00BC6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E5" w:rsidRDefault="005551E5">
    <w:pPr>
      <w:spacing w:line="240" w:lineRule="auto"/>
      <w:ind w:right="180"/>
    </w:pPr>
    <w:bookmarkStart w:id="1" w:name="_gjdgxs" w:colFirst="0" w:colLast="0"/>
    <w:bookmarkEnd w:id="1"/>
  </w:p>
  <w:p w:rsidR="005551E5" w:rsidRDefault="00BC67F3">
    <w:pPr>
      <w:pStyle w:val="Heading1"/>
      <w:spacing w:line="240" w:lineRule="auto"/>
      <w:ind w:left="1440" w:right="180" w:firstLine="720"/>
      <w:contextualSpacing w:val="0"/>
      <w:jc w:val="right"/>
    </w:pPr>
    <w:r>
      <w:rPr>
        <w:rFonts w:ascii="Arial" w:eastAsia="Arial" w:hAnsi="Arial" w:cs="Arial"/>
        <w:b/>
        <w:color w:val="632423"/>
        <w:sz w:val="30"/>
        <w:szCs w:val="30"/>
      </w:rPr>
      <w:t>Texas School for the Blind and Visually Impaired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-85724</wp:posOffset>
          </wp:positionH>
          <wp:positionV relativeFrom="paragraph">
            <wp:posOffset>0</wp:posOffset>
          </wp:positionV>
          <wp:extent cx="1219200" cy="1223645"/>
          <wp:effectExtent l="0" t="0" r="0" b="0"/>
          <wp:wrapNone/>
          <wp:docPr id="2" name="image03.jpg" descr="TSBVI_door_logo3-L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TSBVI_door_logo3-LV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223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51E5" w:rsidRDefault="00BC67F3">
    <w:pPr>
      <w:pStyle w:val="Heading1"/>
      <w:spacing w:after="120" w:line="240" w:lineRule="auto"/>
      <w:ind w:right="180"/>
      <w:contextualSpacing w:val="0"/>
      <w:jc w:val="right"/>
    </w:pPr>
    <w:r>
      <w:rPr>
        <w:rFonts w:ascii="Arial" w:eastAsia="Arial" w:hAnsi="Arial" w:cs="Arial"/>
        <w:sz w:val="18"/>
        <w:szCs w:val="18"/>
      </w:rPr>
      <w:t>A center for educational services for all blind and visually impaired students in Texas</w:t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1930400</wp:posOffset>
          </wp:positionH>
          <wp:positionV relativeFrom="paragraph">
            <wp:posOffset>165100</wp:posOffset>
          </wp:positionV>
          <wp:extent cx="4343400" cy="12700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51E5" w:rsidRDefault="005551E5">
    <w:pPr>
      <w:spacing w:line="240" w:lineRule="auto"/>
    </w:pPr>
  </w:p>
  <w:p w:rsidR="005551E5" w:rsidRDefault="005551E5">
    <w:pPr>
      <w:spacing w:line="240" w:lineRule="auto"/>
    </w:pPr>
  </w:p>
  <w:p w:rsidR="005551E5" w:rsidRDefault="005551E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2C7"/>
    <w:multiLevelType w:val="multilevel"/>
    <w:tmpl w:val="14624D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E303253"/>
    <w:multiLevelType w:val="multilevel"/>
    <w:tmpl w:val="B5D4FF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6952868"/>
    <w:multiLevelType w:val="multilevel"/>
    <w:tmpl w:val="9ECC9A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F0C74D1"/>
    <w:multiLevelType w:val="multilevel"/>
    <w:tmpl w:val="AEA476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A0B4687"/>
    <w:multiLevelType w:val="multilevel"/>
    <w:tmpl w:val="BCD0F7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7604609"/>
    <w:multiLevelType w:val="multilevel"/>
    <w:tmpl w:val="FB9ADF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2B74E00"/>
    <w:multiLevelType w:val="multilevel"/>
    <w:tmpl w:val="54E695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54A0150"/>
    <w:multiLevelType w:val="multilevel"/>
    <w:tmpl w:val="17DA51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7334E27"/>
    <w:multiLevelType w:val="multilevel"/>
    <w:tmpl w:val="E6946B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C530BD4"/>
    <w:multiLevelType w:val="multilevel"/>
    <w:tmpl w:val="F77607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E5"/>
    <w:rsid w:val="005551E5"/>
    <w:rsid w:val="009A2EBE"/>
    <w:rsid w:val="00BC67F3"/>
    <w:rsid w:val="00C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Wibbenmeyer</dc:creator>
  <cp:lastModifiedBy>Diane Brauner</cp:lastModifiedBy>
  <cp:revision>2</cp:revision>
  <dcterms:created xsi:type="dcterms:W3CDTF">2016-10-27T16:23:00Z</dcterms:created>
  <dcterms:modified xsi:type="dcterms:W3CDTF">2016-10-27T16:23:00Z</dcterms:modified>
</cp:coreProperties>
</file>